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B89" w14:textId="77777777" w:rsidR="001B229B" w:rsidRDefault="006D3938">
      <w:pPr>
        <w:spacing w:before="200" w:after="80"/>
      </w:pPr>
      <w:r>
        <w:rPr>
          <w:b/>
          <w:bCs/>
          <w:color w:val="1F3864"/>
          <w:sz w:val="44"/>
          <w:szCs w:val="44"/>
        </w:rPr>
        <w:t>WDI 2026 Topic Scoring Criteria</w:t>
      </w:r>
    </w:p>
    <w:p w14:paraId="739BFB8A" w14:textId="77777777" w:rsidR="001B229B" w:rsidRDefault="006D3938">
      <w:pPr>
        <w:spacing w:after="300"/>
      </w:pPr>
      <w:r>
        <w:rPr>
          <w:b/>
          <w:bCs/>
          <w:color w:val="2E75B6"/>
          <w:sz w:val="36"/>
          <w:szCs w:val="36"/>
        </w:rPr>
        <w:t>Topic 12: Discrimination and Harassment</w:t>
      </w:r>
    </w:p>
    <w:p w14:paraId="739BFB8B" w14:textId="77777777" w:rsidR="001B229B" w:rsidRDefault="001B229B">
      <w:pPr>
        <w:pBdr>
          <w:bottom w:val="single" w:sz="4" w:space="1" w:color="D9D9D9"/>
        </w:pBdr>
        <w:spacing w:before="240" w:after="240"/>
      </w:pPr>
    </w:p>
    <w:p w14:paraId="739BFB8C" w14:textId="77777777" w:rsidR="001B229B" w:rsidRDefault="006D3938">
      <w:pPr>
        <w:pStyle w:val="Heading1"/>
        <w:spacing w:before="360" w:after="160"/>
      </w:pPr>
      <w:r>
        <w:rPr>
          <w:b/>
          <w:bCs/>
          <w:color w:val="1F3864"/>
          <w:sz w:val="34"/>
          <w:szCs w:val="34"/>
        </w:rPr>
        <w:t>1. Topic Overview</w:t>
      </w:r>
    </w:p>
    <w:p w14:paraId="739BFB8D" w14:textId="77777777" w:rsidR="001B229B" w:rsidRDefault="006D3938">
      <w:pPr>
        <w:spacing w:before="80" w:after="80"/>
      </w:pPr>
      <w:r>
        <w:rPr>
          <w:color w:val="1A1A1A"/>
        </w:rPr>
        <w:t>This topic assesses whether the company has a public policy on discrimination and harassment, the quality of that policy’s governance and public accessibility, and whether the company discloses quantitative data on discrimination and harassment incidents reported and resolved in the reporting period.</w:t>
      </w:r>
    </w:p>
    <w:p w14:paraId="739BFB8E" w14:textId="77777777" w:rsidR="001B229B" w:rsidRDefault="006D3938">
      <w:pPr>
        <w:spacing w:before="80" w:after="80"/>
      </w:pPr>
      <w:r>
        <w:rPr>
          <w:color w:val="1A1A1A"/>
        </w:rPr>
        <w:t>The topic is scored using four questions: Q4.15 (Yes/Not Yet gate), Q4.15a (if Yes — document type dropdown + link/attachment + 150-word text, applicable only on Yes path), Q4.15b (if Not Yet — plans and alternative processes, 150 words, applicable only on Not Yet path), and Q4.16 (discrimination and harassment incidents reported and resolved, Table Q4.16, ALWAYS applicable regardless of Q4.15 gate answer). Q4.C is excluded from scoring.</w:t>
      </w:r>
    </w:p>
    <w:p w14:paraId="739BFB8F" w14:textId="77777777" w:rsidR="001B229B" w:rsidRDefault="006D3938">
      <w:pPr>
        <w:pStyle w:val="Heading2"/>
        <w:spacing w:before="280" w:after="120"/>
      </w:pPr>
      <w:r>
        <w:rPr>
          <w:b/>
          <w:bCs/>
          <w:color w:val="2E75B6"/>
        </w:rPr>
        <w:t>Important: Q4.16 Is Always Applicable</w:t>
      </w:r>
    </w:p>
    <w:p w14:paraId="739BFB90" w14:textId="77777777" w:rsidR="001B229B" w:rsidRDefault="006D3938">
      <w:pPr>
        <w:spacing w:before="80" w:after="80"/>
      </w:pPr>
      <w:r>
        <w:rPr>
          <w:color w:val="1A1A1A"/>
        </w:rPr>
        <w:t>Q4.16 is always applicable — every company, whether it has a public D&amp;H policy or not, is expected to provide the number of discrimination and harassment incidents reported and the number resolved in the reporting period. A company on the Not Yet path at Q4.15 (no public policy yet) is still expected to complete Q4.16. This means: Action evidence from Q4.16 is available to every company regardless of which path they are on. The Q4.16 numbers are not scored as ‘higher = better’ or ‘lower = better’ — what mat</w:t>
      </w:r>
      <w:r>
        <w:rPr>
          <w:color w:val="1A1A1A"/>
        </w:rPr>
        <w:t>ters is that the company discloses the figures transparently, demonstrating its reporting system has operated. Where available, the guidance asks the company to explain the basis used to determine when an incident is considered resolved.</w:t>
      </w:r>
    </w:p>
    <w:p w14:paraId="739BFB91" w14:textId="77777777" w:rsidR="001B229B" w:rsidRDefault="006D3938">
      <w:pPr>
        <w:pStyle w:val="Heading2"/>
        <w:spacing w:before="280" w:after="120"/>
      </w:pPr>
      <w:r>
        <w:rPr>
          <w:b/>
          <w:bCs/>
          <w:color w:val="2E75B6"/>
        </w:rPr>
        <w:t>Not Yet Cap</w:t>
      </w:r>
    </w:p>
    <w:p w14:paraId="739BFB92" w14:textId="77777777" w:rsidR="001B229B" w:rsidRDefault="006D3938">
      <w:pPr>
        <w:spacing w:before="80" w:after="80"/>
      </w:pPr>
      <w:r>
        <w:rPr>
          <w:color w:val="1A1A1A"/>
        </w:rPr>
        <w:t>Q4.15b is a Not Yet follow-up question. It feeds Awareness (plans element) and Approach (alternative processes element). The Not Yet cap applies at the dimension level: any dimension score derived from Q4.15b is capped at 3 regardless of response quality. Action = 0 from Q4.</w:t>
      </w:r>
      <w:proofErr w:type="gramStart"/>
      <w:r>
        <w:rPr>
          <w:color w:val="1A1A1A"/>
        </w:rPr>
        <w:t>15b by definition</w:t>
      </w:r>
      <w:proofErr w:type="gramEnd"/>
      <w:r>
        <w:rPr>
          <w:color w:val="1A1A1A"/>
        </w:rPr>
        <w:t>. However, Q4.16 (always applicable) feeds Action independently and is NOT subject to the Not Yet cap. A Not Yet company can still score on Action via Q4.16.</w:t>
      </w:r>
    </w:p>
    <w:p w14:paraId="739BFB93" w14:textId="77777777" w:rsidR="001B229B" w:rsidRDefault="006D3938">
      <w:pPr>
        <w:pStyle w:val="Heading2"/>
        <w:spacing w:before="280" w:after="120"/>
      </w:pPr>
      <w:r>
        <w:rPr>
          <w:b/>
          <w:bCs/>
          <w:color w:val="2E75B6"/>
        </w:rPr>
        <w:t>3A Dimension Mapping</w:t>
      </w:r>
    </w:p>
    <w:p w14:paraId="739BFB94" w14:textId="77777777" w:rsidR="001B229B" w:rsidRDefault="006D3938">
      <w:pPr>
        <w:spacing w:before="80" w:after="80"/>
      </w:pPr>
      <w:r>
        <w:rPr>
          <w:color w:val="1A1A1A"/>
        </w:rPr>
        <w:t xml:space="preserve">Awareness: Q4.15 gate (always applicable — binary recognition of whether a D&amp;H policy exists) + Q4.15b plans element (if Not Yet, capped at 3). Approach: Q4.15a document type and section identification (if </w:t>
      </w:r>
      <w:proofErr w:type="gramStart"/>
      <w:r>
        <w:rPr>
          <w:color w:val="1A1A1A"/>
        </w:rPr>
        <w:t>Yes</w:t>
      </w:r>
      <w:proofErr w:type="gramEnd"/>
      <w:r>
        <w:rPr>
          <w:color w:val="1A1A1A"/>
        </w:rPr>
        <w:t xml:space="preserve"> — the governance structure of the policy) + Q4.15b alternative processes (if Not Yet, capped at 3). Action: Q4.15a link/attachment (if </w:t>
      </w:r>
      <w:proofErr w:type="gramStart"/>
      <w:r>
        <w:rPr>
          <w:color w:val="1A1A1A"/>
        </w:rPr>
        <w:t>Yes</w:t>
      </w:r>
      <w:proofErr w:type="gramEnd"/>
      <w:r>
        <w:rPr>
          <w:color w:val="1A1A1A"/>
        </w:rPr>
        <w:t xml:space="preserve"> — documentary evidence the policy is publicly accessible) + Q4.16 incident counts (ALWAYS applicable — quantitative operational data).</w:t>
      </w:r>
    </w:p>
    <w:p w14:paraId="739BFB95" w14:textId="77777777" w:rsidR="001B229B" w:rsidRDefault="006D3938">
      <w:pPr>
        <w:spacing w:before="80" w:after="60"/>
      </w:pPr>
      <w:r>
        <w:rPr>
          <w:i/>
          <w:iCs/>
          <w:color w:val="666666"/>
          <w:sz w:val="17"/>
          <w:szCs w:val="17"/>
        </w:rPr>
        <w:t>Q4.C (Notes on Discrimination and Harassment) is excluded from scoring.</w:t>
      </w:r>
    </w:p>
    <w:p w14:paraId="739BFB96" w14:textId="77777777" w:rsidR="001B229B" w:rsidRDefault="001B229B">
      <w:pPr>
        <w:pBdr>
          <w:bottom w:val="single" w:sz="4" w:space="1" w:color="D9D9D9"/>
        </w:pBdr>
        <w:spacing w:before="240" w:after="240"/>
      </w:pPr>
    </w:p>
    <w:p w14:paraId="739BFB97" w14:textId="77777777" w:rsidR="001B229B" w:rsidRDefault="006D3938">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1B229B" w14:paraId="739BFB9B"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739BFB98" w14:textId="77777777" w:rsidR="001B229B" w:rsidRDefault="006D3938">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739BFB99" w14:textId="77777777" w:rsidR="001B229B" w:rsidRDefault="006D3938">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739BFB9A" w14:textId="77777777" w:rsidR="001B229B" w:rsidRDefault="006D3938">
            <w:pPr>
              <w:jc w:val="center"/>
            </w:pPr>
            <w:r>
              <w:rPr>
                <w:b/>
                <w:bCs/>
                <w:color w:val="FFFFFF"/>
                <w:sz w:val="17"/>
                <w:szCs w:val="17"/>
              </w:rPr>
              <w:t>ACTION</w:t>
            </w:r>
          </w:p>
        </w:tc>
      </w:tr>
      <w:tr w:rsidR="001B229B" w14:paraId="739BFB9F"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B9C" w14:textId="77777777" w:rsidR="001B229B" w:rsidRDefault="006D3938">
            <w:pPr>
              <w:spacing w:before="20" w:after="20"/>
            </w:pPr>
            <w:r>
              <w:rPr>
                <w:color w:val="1A1A1A"/>
                <w:sz w:val="18"/>
                <w:szCs w:val="18"/>
              </w:rPr>
              <w:t xml:space="preserve">Awareness is assessed from Q4.15 (always applicable) and the plans element of Q4.15b (if Not Yet path, </w:t>
            </w:r>
            <w:r>
              <w:rPr>
                <w:color w:val="1A1A1A"/>
                <w:sz w:val="18"/>
                <w:szCs w:val="18"/>
              </w:rPr>
              <w:lastRenderedPageBreak/>
              <w:t xml:space="preserve">capped at 3).  Q4.15 gate (always applicable): selecting Yes = full recognition that the company has a public D&amp;H policy. Selecting Not Yet = recognition that it does not yet. This is a binary gate.  Q4.15b plans element (if Not Yet, conditional): ‘any plans to adopt and/or publish a public D&amp;H policy, including the expected date for publication.’ Providing a specific plan with an expected date demonstrates more concrete recognition of the gap than a vague statement of intent. This element is capped at 3 — </w:t>
            </w:r>
            <w:r>
              <w:rPr>
                <w:color w:val="1A1A1A"/>
                <w:sz w:val="18"/>
                <w:szCs w:val="18"/>
              </w:rPr>
              <w:t>no matter how detailed the plans, a Not Yet company’s Awareness cannot exceed 3.  Three meaningful Awareness states: blank gate = 0; Not Yet answered (with or without Q4.15b) = 1; Yes = 5. The quality of Q4.15b plans feeds Approach, not Awareness.  Primary evidence: the Q4.15 Yes/Not Yet selection.</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B9D" w14:textId="77777777" w:rsidR="001B229B" w:rsidRDefault="006D3938">
            <w:pPr>
              <w:spacing w:before="20" w:after="20"/>
            </w:pPr>
            <w:r>
              <w:rPr>
                <w:color w:val="1A1A1A"/>
                <w:sz w:val="18"/>
                <w:szCs w:val="18"/>
              </w:rPr>
              <w:lastRenderedPageBreak/>
              <w:t xml:space="preserve">Approach is assessed from Q4.15a (if Yes path) or Q4.15b alternative processes (if Not Yet path). These two </w:t>
            </w:r>
            <w:r>
              <w:rPr>
                <w:color w:val="1A1A1A"/>
                <w:sz w:val="18"/>
                <w:szCs w:val="18"/>
              </w:rPr>
              <w:lastRenderedPageBreak/>
              <w:t>paths are mutually exclusive — only one ever applies per company.  If Q4.15 = Yes (Q4.15a): the Answer Format column reveals two Approach elements: (1) the document type dropdown (select all that apply from 10 predefined options: standalone non-discrimination policy, D&amp;I policy, employee code of conduct, HR policy, human rights policy/statement, modern slavery statement, sustainability/ESG/CSR report, supplier code of conduct, annual report, or other) — this identifies how the policy sits within the governa</w:t>
            </w:r>
            <w:r>
              <w:rPr>
                <w:color w:val="1A1A1A"/>
                <w:sz w:val="18"/>
                <w:szCs w:val="18"/>
              </w:rPr>
              <w:t>nce structure; (2) where the document is NOT a standalone D&amp;H policy, the text box (150 words) must identify the specific section or content that addresses discrimination and harassment. A standalone policy is the strongest governance signal; a section within a broader document is acceptable but less specific.  If Q4.15 = Not Yet (Q4.15b, CAPPED AT 3): ‘what other processes are currently in place to prevent discrimination and harassment’ (internal policies, employee training, grievance/reporting mechanisms,</w:t>
            </w:r>
            <w:r>
              <w:rPr>
                <w:color w:val="1A1A1A"/>
                <w:sz w:val="18"/>
                <w:szCs w:val="18"/>
              </w:rPr>
              <w:t xml:space="preserve"> disciplinary procedures, manager guidance, workplace investigations, risk assessments, monitoring and oversight), ‘how these processes are implemented in practice,’ and ‘which teams, functions or governance bodies are responsible.’  Primary evidence: document type selection and section specificity (Yes path); or alternative process breadth, implementation description, and responsibility assignment (Not Yet path, capped at 3).</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B9E" w14:textId="77777777" w:rsidR="001B229B" w:rsidRDefault="006D3938">
            <w:pPr>
              <w:spacing w:before="20" w:after="20"/>
            </w:pPr>
            <w:r>
              <w:rPr>
                <w:color w:val="1A1A1A"/>
                <w:sz w:val="18"/>
                <w:szCs w:val="18"/>
              </w:rPr>
              <w:lastRenderedPageBreak/>
              <w:t xml:space="preserve">Action is assessed from TWO sources that may both apply simultaneously: Q4.15a link/attachment (if Yes path </w:t>
            </w:r>
            <w:r>
              <w:rPr>
                <w:color w:val="1A1A1A"/>
                <w:sz w:val="18"/>
                <w:szCs w:val="18"/>
              </w:rPr>
              <w:lastRenderedPageBreak/>
              <w:t xml:space="preserve">only) AND Q4.16 incident counts (ALWAYS applicable, regardless of Q4.15 gate).  Q4.15a link/attachment (if </w:t>
            </w:r>
            <w:proofErr w:type="gramStart"/>
            <w:r>
              <w:rPr>
                <w:color w:val="1A1A1A"/>
                <w:sz w:val="18"/>
                <w:szCs w:val="18"/>
              </w:rPr>
              <w:t>Yes</w:t>
            </w:r>
            <w:proofErr w:type="gramEnd"/>
            <w:r>
              <w:rPr>
                <w:color w:val="1A1A1A"/>
                <w:sz w:val="18"/>
                <w:szCs w:val="18"/>
              </w:rPr>
              <w:t>, conditional): providing a public link to or attachment of the relevant D&amp;H policy document is direct, verifiable evidence that the policy is published and accessible. This is Action evidence because the document IS the implemented practice.  Q4.16 (always applicable): two ‘Enter number’ fields — the number of D&amp;H incidents reported in the reporting period AND the number resolved. These are quantit</w:t>
            </w:r>
            <w:r>
              <w:rPr>
                <w:color w:val="1A1A1A"/>
                <w:sz w:val="18"/>
                <w:szCs w:val="18"/>
              </w:rPr>
              <w:t>ative, operational data demonstrating the D&amp;H reporting system has operated. The numbers themselves are not ‘higher = better’ or ‘lower = better’ — disclosing them transparently is what matters. Where available, the guidance also asks the company to explain the basis used to determine when an incident is considered resolved.  Explicit gate logic for Action: OR logic applies at scores 0–3 — Q4.16 alone (even without a Q4.15a link) can reach up to score 3. AND logic applies at score 5 — both Q4.16 must be pop</w:t>
            </w:r>
            <w:r>
              <w:rPr>
                <w:color w:val="1A1A1A"/>
                <w:sz w:val="18"/>
                <w:szCs w:val="18"/>
              </w:rPr>
              <w:t>ulated AND, if Q4.15 = Yes, Q4.15a must also provide the public link. A Not Yet company (no Q4.15a link possible) can reach score 3 via Q4.16 alone but NOT score 5, since the AND at score 5 requires the link for Yes-path companies, and a Not Yet company has no link to provide.  Primary evidence: public link/attachment for Q4.15a (Yes path); reported and resolved incident counts for Q4.16.</w:t>
            </w:r>
          </w:p>
        </w:tc>
      </w:tr>
    </w:tbl>
    <w:p w14:paraId="739BFBA0" w14:textId="77777777" w:rsidR="001B229B" w:rsidRDefault="001B229B">
      <w:pPr>
        <w:pBdr>
          <w:bottom w:val="single" w:sz="4" w:space="1" w:color="D9D9D9"/>
        </w:pBdr>
        <w:spacing w:before="240" w:after="240"/>
      </w:pPr>
    </w:p>
    <w:p w14:paraId="739BFBA1" w14:textId="77777777" w:rsidR="001B229B" w:rsidRDefault="006D3938">
      <w:pPr>
        <w:pStyle w:val="Heading1"/>
        <w:spacing w:before="360" w:after="160"/>
      </w:pPr>
      <w:r>
        <w:rPr>
          <w:b/>
          <w:bCs/>
          <w:color w:val="1F3864"/>
          <w:sz w:val="34"/>
          <w:szCs w:val="34"/>
        </w:rPr>
        <w:t>3. Scoring Rubric — All Dimensions</w:t>
      </w:r>
    </w:p>
    <w:p w14:paraId="739BFBA2" w14:textId="77777777" w:rsidR="001B229B" w:rsidRDefault="006D3938">
      <w:pPr>
        <w:spacing w:before="80" w:after="60"/>
      </w:pPr>
      <w:r>
        <w:rPr>
          <w:i/>
          <w:iCs/>
          <w:color w:val="666666"/>
          <w:sz w:val="17"/>
          <w:szCs w:val="17"/>
        </w:rPr>
        <w:t>Awareness uses 0,1,3,5 (Not Yet path: 1 = bare Not Yet or vague plans; 3 = specific plans with expected date, capped). Approach uses 0,1,3,5 (Not Yet path capped at 3). Action uses 0,1,3,5 (Q4.16 always applicable; Q4.15a link conditional on Yes; OR logic at 0–3, AND logic at 5). Every dimension’s top level is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65"/>
        <w:gridCol w:w="2688"/>
      </w:tblGrid>
      <w:tr w:rsidR="001B229B" w14:paraId="739BFBA9"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BA3" w14:textId="77777777" w:rsidR="001B229B" w:rsidRDefault="006D3938">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BA4" w14:textId="77777777" w:rsidR="001B229B" w:rsidRDefault="006D3938">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BA5" w14:textId="77777777" w:rsidR="001B229B" w:rsidRDefault="006D3938">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BA6" w14:textId="77777777" w:rsidR="001B229B" w:rsidRDefault="006D3938">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BA7" w14:textId="77777777" w:rsidR="001B229B" w:rsidRDefault="006D3938">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BA8" w14:textId="77777777" w:rsidR="001B229B" w:rsidRDefault="006D3938">
            <w:pPr>
              <w:jc w:val="center"/>
            </w:pPr>
            <w:r>
              <w:rPr>
                <w:b/>
                <w:bCs/>
                <w:color w:val="FFFFFF"/>
                <w:sz w:val="15"/>
                <w:szCs w:val="15"/>
              </w:rPr>
              <w:t>Next Step</w:t>
            </w:r>
          </w:p>
        </w:tc>
      </w:tr>
      <w:tr w:rsidR="001B229B" w14:paraId="739BFBB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AA"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AB" w14:textId="77777777" w:rsidR="001B229B" w:rsidRDefault="006D393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AC" w14:textId="77777777" w:rsidR="001B229B" w:rsidRDefault="006D393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AD" w14:textId="77777777" w:rsidR="001B229B" w:rsidRDefault="006D3938">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BAE" w14:textId="77777777" w:rsidR="001B229B" w:rsidRDefault="006D3938">
            <w:pPr>
              <w:spacing w:before="20" w:after="20"/>
            </w:pPr>
            <w:r>
              <w:rPr>
                <w:color w:val="1A1A1A"/>
                <w:sz w:val="18"/>
                <w:szCs w:val="18"/>
              </w:rPr>
              <w:t>Q4.15 is blank — neither Yes nor Not Yet has been selected. The company has provided no indication of whether it has a public D&amp;H policy.</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BAF" w14:textId="77777777" w:rsidR="001B229B" w:rsidRDefault="006D3938">
            <w:pPr>
              <w:spacing w:before="20" w:after="20"/>
            </w:pPr>
            <w:r>
              <w:rPr>
                <w:i/>
                <w:iCs/>
                <w:color w:val="1A1A1A"/>
                <w:sz w:val="17"/>
                <w:szCs w:val="17"/>
              </w:rPr>
              <w:t>Select Yes or Not Yet at Q4.15. If Not Yet, complete Q4.15b with plans for adoption and any alternative processes currently in place.</w:t>
            </w:r>
          </w:p>
        </w:tc>
      </w:tr>
      <w:tr w:rsidR="001B229B" w14:paraId="739BFBB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B1" w14:textId="77777777" w:rsidR="001B229B" w:rsidRDefault="006D3938">
            <w:pPr>
              <w:spacing w:before="20" w:after="20"/>
              <w:jc w:val="center"/>
            </w:pPr>
            <w:r>
              <w:rPr>
                <w:b/>
                <w:bCs/>
                <w:color w:val="1A1A1A"/>
                <w:sz w:val="17"/>
                <w:szCs w:val="17"/>
              </w:rPr>
              <w:lastRenderedPageBreak/>
              <w:t>12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B2" w14:textId="77777777" w:rsidR="001B229B" w:rsidRDefault="006D393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B3" w14:textId="77777777" w:rsidR="001B229B" w:rsidRDefault="006D393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B4" w14:textId="77777777" w:rsidR="001B229B" w:rsidRDefault="006D3938">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B5" w14:textId="77777777" w:rsidR="001B229B" w:rsidRDefault="006D3938">
            <w:pPr>
              <w:spacing w:before="20" w:after="20"/>
            </w:pPr>
            <w:r>
              <w:rPr>
                <w:color w:val="1A1A1A"/>
                <w:sz w:val="18"/>
                <w:szCs w:val="18"/>
              </w:rPr>
              <w:t>Q4.15 = Not Yet AND Q4.15b is blank OR provides only a vague statement of intent (e.g., “we plan to develop a policy”) without specifying an expected date for publication. The company acknowledges it does not have a public D&amp;H policy but has not demonstrated a concrete plan with a timeline.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B6" w14:textId="77777777" w:rsidR="001B229B" w:rsidRDefault="006D3938">
            <w:pPr>
              <w:spacing w:before="20" w:after="20"/>
            </w:pPr>
            <w:r>
              <w:rPr>
                <w:i/>
                <w:iCs/>
                <w:color w:val="1A1A1A"/>
                <w:sz w:val="17"/>
                <w:szCs w:val="17"/>
              </w:rPr>
              <w:t>In Q4.15b, include a specific expected date for when the policy will be published. This lifts Awareness to score 3.</w:t>
            </w:r>
          </w:p>
        </w:tc>
      </w:tr>
      <w:tr w:rsidR="001B229B" w14:paraId="739BFBB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B8"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B9" w14:textId="77777777" w:rsidR="001B229B" w:rsidRDefault="006D393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BA" w14:textId="77777777" w:rsidR="001B229B" w:rsidRDefault="006D393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39BFBBB" w14:textId="77777777" w:rsidR="001B229B" w:rsidRDefault="006D3938">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BBC" w14:textId="77777777" w:rsidR="001B229B" w:rsidRDefault="006D3938">
            <w:pPr>
              <w:spacing w:before="20" w:after="20"/>
            </w:pPr>
            <w:r>
              <w:rPr>
                <w:color w:val="1A1A1A"/>
                <w:sz w:val="18"/>
                <w:szCs w:val="18"/>
              </w:rPr>
              <w:t>Q4.15 = Not Yet AND Q4.15b provides specific plans to adopt and/or publish a public D&amp;H policy, including a concrete expected date for publication. The company has clearly recognised the gap and stated when it intends to address it. This is the maximum Awareness score for the Not Yet path — score 5 requires Yes at Q4.15.</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BBD" w14:textId="77777777" w:rsidR="001B229B" w:rsidRDefault="006D3938">
            <w:pPr>
              <w:spacing w:before="20" w:after="20"/>
            </w:pPr>
            <w:r>
              <w:rPr>
                <w:i/>
                <w:iCs/>
                <w:color w:val="1A1A1A"/>
                <w:sz w:val="17"/>
                <w:szCs w:val="17"/>
              </w:rPr>
              <w:t>Adopt and publish a D&amp;H policy and select Yes at Q4.15 to reach the leading Awareness level.</w:t>
            </w:r>
          </w:p>
        </w:tc>
      </w:tr>
      <w:tr w:rsidR="001B229B" w14:paraId="739BFBC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BF"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C0" w14:textId="77777777" w:rsidR="001B229B" w:rsidRDefault="006D393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C1" w14:textId="77777777" w:rsidR="001B229B" w:rsidRDefault="006D393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C2" w14:textId="77777777" w:rsidR="001B229B" w:rsidRDefault="006D3938">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C3" w14:textId="77777777" w:rsidR="001B229B" w:rsidRDefault="006D3938">
            <w:pPr>
              <w:spacing w:before="20" w:after="20"/>
            </w:pPr>
            <w:r>
              <w:rPr>
                <w:color w:val="1A1A1A"/>
                <w:sz w:val="18"/>
                <w:szCs w:val="18"/>
              </w:rPr>
              <w:t>Q4.15 = Yes. The company fully recognises that it has a public D&amp;H policy in place. Selecting Yes is the complete Awareness evidence — the quality of the policy document and its public accessibility are assessed in Approach and Action respectively.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C4" w14:textId="77777777" w:rsidR="001B229B" w:rsidRDefault="006D3938">
            <w:pPr>
              <w:spacing w:before="20" w:after="20"/>
            </w:pPr>
            <w:r>
              <w:rPr>
                <w:i/>
                <w:iCs/>
                <w:color w:val="1A1A1A"/>
                <w:sz w:val="17"/>
                <w:szCs w:val="17"/>
              </w:rPr>
              <w:t>Highest level achieved for Awareness. Maintain the Yes selection and continue developing the quality of policy documentation (Approach) and public accessibility (Action).</w:t>
            </w:r>
          </w:p>
        </w:tc>
      </w:tr>
      <w:tr w:rsidR="001B229B" w14:paraId="739BFBC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C6"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C7" w14:textId="77777777" w:rsidR="001B229B" w:rsidRDefault="006D39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C8" w14:textId="77777777" w:rsidR="001B229B" w:rsidRDefault="006D393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C9" w14:textId="77777777" w:rsidR="001B229B" w:rsidRDefault="006D3938">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BCA" w14:textId="77777777" w:rsidR="001B229B" w:rsidRDefault="006D3938">
            <w:pPr>
              <w:spacing w:before="20" w:after="20"/>
            </w:pPr>
            <w:r>
              <w:rPr>
                <w:color w:val="1A1A1A"/>
                <w:sz w:val="18"/>
                <w:szCs w:val="18"/>
              </w:rPr>
              <w:t>Yes path: Q4.15a is blank or only a link is provided with no document type selected and no text box content — the company selected Yes but describes nothing about the policy’s governance structure. Not Yet path: Q4.15b is blank — the company selected Not Yet but describes no alternative processes and no plans.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BCB" w14:textId="77777777" w:rsidR="001B229B" w:rsidRDefault="006D3938">
            <w:pPr>
              <w:spacing w:before="20" w:after="20"/>
            </w:pPr>
            <w:r>
              <w:rPr>
                <w:i/>
                <w:iCs/>
                <w:color w:val="1A1A1A"/>
                <w:sz w:val="17"/>
                <w:szCs w:val="17"/>
              </w:rPr>
              <w:t>Yes path: select at least one document type from the Q4.15a dropdown to identify what kind of document covers D&amp;H. Not Yet path: describe in Q4.15b at least one alternative process currently in place to prevent discrimination and harassment.</w:t>
            </w:r>
          </w:p>
        </w:tc>
      </w:tr>
      <w:tr w:rsidR="001B229B" w14:paraId="739BFBD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CD"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CE" w14:textId="77777777" w:rsidR="001B229B" w:rsidRDefault="006D39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CF" w14:textId="77777777" w:rsidR="001B229B" w:rsidRDefault="006D393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D0" w14:textId="77777777" w:rsidR="001B229B" w:rsidRDefault="006D3938">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D1" w14:textId="77777777" w:rsidR="001B229B" w:rsidRDefault="006D3938">
            <w:pPr>
              <w:spacing w:before="20" w:after="20"/>
            </w:pPr>
            <w:r>
              <w:rPr>
                <w:color w:val="1A1A1A"/>
                <w:sz w:val="18"/>
                <w:szCs w:val="18"/>
              </w:rPr>
              <w:t>Yes path: Q4.15a selects one document type from the dropdown but the document is not a standalone D&amp;H policy AND no section or content identification is provided in the text box to indicate where D&amp;H is addressed. The governance structure is unclear. Not Yet path: Q4.15b mentions one alternative process (e.g., ‘we have an HR policy’) without describing how it operates in practice or who is responsible.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D2" w14:textId="77777777" w:rsidR="001B229B" w:rsidRDefault="006D3938">
            <w:pPr>
              <w:spacing w:before="20" w:after="20"/>
            </w:pPr>
            <w:r>
              <w:rPr>
                <w:i/>
                <w:iCs/>
                <w:color w:val="1A1A1A"/>
                <w:sz w:val="17"/>
                <w:szCs w:val="17"/>
              </w:rPr>
              <w:t>Yes path: if the document is not a standalone D&amp;H policy, use the text box to identify the specific section or content that addresses discrimination and harassment. Not Yet path: describe how alternative processes operate in practice and identify which teams or governance bodies are responsible for preventing D&amp;H.</w:t>
            </w:r>
          </w:p>
        </w:tc>
      </w:tr>
      <w:tr w:rsidR="001B229B" w14:paraId="739BFBD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D4"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D5" w14:textId="77777777" w:rsidR="001B229B" w:rsidRDefault="006D39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D6" w14:textId="77777777" w:rsidR="001B229B" w:rsidRDefault="006D393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39BFBD7" w14:textId="77777777" w:rsidR="001B229B" w:rsidRDefault="006D3938">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BD8" w14:textId="77777777" w:rsidR="001B229B" w:rsidRDefault="006D3938">
            <w:pPr>
              <w:spacing w:before="20" w:after="20"/>
            </w:pPr>
            <w:r>
              <w:rPr>
                <w:color w:val="1A1A1A"/>
                <w:sz w:val="18"/>
                <w:szCs w:val="18"/>
              </w:rPr>
              <w:t>Yes path: Q4.15a selects the appropriate document type(s) from the dropdown AND either provides a standalone D&amp;H policy (clearest governance signal) OR, where the document is embedded, identifies the specific section/content addressing D&amp;H in the text box. The governance structure of the policy is clear. Not Yet path (CAPPED AT THIS LEVEL): Q4.15b describes multiple alternative processes (at least 2–3 from the guidance list: internal policies, training, grievance/reporting mechanisms, disciplinary procedure</w:t>
            </w:r>
            <w:r>
              <w:rPr>
                <w:color w:val="1A1A1A"/>
                <w:sz w:val="18"/>
                <w:szCs w:val="18"/>
              </w:rPr>
              <w:t xml:space="preserve">s, manager </w:t>
            </w:r>
            <w:r>
              <w:rPr>
                <w:color w:val="1A1A1A"/>
                <w:sz w:val="18"/>
                <w:szCs w:val="18"/>
              </w:rPr>
              <w:lastRenderedPageBreak/>
              <w:t>guidance, investigations, risk assessments, monitoring) AND describes how they are implemented in practice AND identifies which teams or functions are responsible. This is the ceiling for the Not Yet path — score 5 requires the Yes path.</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BD9" w14:textId="77777777" w:rsidR="001B229B" w:rsidRDefault="006D3938">
            <w:pPr>
              <w:spacing w:before="20" w:after="20"/>
            </w:pPr>
            <w:r>
              <w:rPr>
                <w:i/>
                <w:iCs/>
                <w:color w:val="1A1A1A"/>
                <w:sz w:val="17"/>
                <w:szCs w:val="17"/>
              </w:rPr>
              <w:lastRenderedPageBreak/>
              <w:t>Yes path: to reach score 5, ensure the document type selection is comprehensive (select all that apply) and the text box clearly identifies the D&amp;H-specific content where the document covers multiple topics. Not Yet path: implement and publish a D&amp;H policy to move to the Yes path.</w:t>
            </w:r>
          </w:p>
        </w:tc>
      </w:tr>
      <w:tr w:rsidR="001B229B" w14:paraId="739BFBE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DB"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DC" w14:textId="77777777" w:rsidR="001B229B" w:rsidRDefault="006D39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DD" w14:textId="77777777" w:rsidR="001B229B" w:rsidRDefault="006D393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DE" w14:textId="77777777" w:rsidR="001B229B" w:rsidRDefault="006D3938">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DF" w14:textId="77777777" w:rsidR="001B229B" w:rsidRDefault="006D3938">
            <w:pPr>
              <w:spacing w:before="20" w:after="20"/>
            </w:pPr>
            <w:proofErr w:type="gramStart"/>
            <w:r>
              <w:rPr>
                <w:color w:val="1A1A1A"/>
                <w:sz w:val="18"/>
                <w:szCs w:val="18"/>
              </w:rPr>
              <w:t>Yes</w:t>
            </w:r>
            <w:proofErr w:type="gramEnd"/>
            <w:r>
              <w:rPr>
                <w:color w:val="1A1A1A"/>
                <w:sz w:val="18"/>
                <w:szCs w:val="18"/>
              </w:rPr>
              <w:t xml:space="preserve"> path only (Not Yet path is capped at 3). Q4.15a comprehensively addresses the governance structure: all applicable document types are selected from the dropdown (e.g., where a company has both a standalone non-discrimination policy AND it is referenced in the human rights policy, both types should be selected); where the document is not a standalone D&amp;H policy, the text box clearly identifies the specific section and content addressing discrimination and harassment. The policy’s placement within the govern</w:t>
            </w:r>
            <w:r>
              <w:rPr>
                <w:color w:val="1A1A1A"/>
                <w:sz w:val="18"/>
                <w:szCs w:val="18"/>
              </w:rPr>
              <w:t>ance structure is fully transparent.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E0" w14:textId="77777777" w:rsidR="001B229B" w:rsidRDefault="006D3938">
            <w:pPr>
              <w:spacing w:before="20" w:after="20"/>
            </w:pPr>
            <w:r>
              <w:rPr>
                <w:i/>
                <w:iCs/>
                <w:color w:val="1A1A1A"/>
                <w:sz w:val="17"/>
                <w:szCs w:val="17"/>
              </w:rPr>
              <w:t>Highest level achieved for Approach. Maintain comprehensive document type disclosure and ensure any changes to the policy’s format or location are reflected in Q4.15a.</w:t>
            </w:r>
          </w:p>
        </w:tc>
      </w:tr>
      <w:tr w:rsidR="001B229B" w14:paraId="739BFBE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E2"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E3" w14:textId="77777777" w:rsidR="001B229B" w:rsidRDefault="006D39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E4" w14:textId="77777777" w:rsidR="001B229B" w:rsidRDefault="006D393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E5" w14:textId="77777777" w:rsidR="001B229B" w:rsidRDefault="006D3938">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BE6" w14:textId="77777777" w:rsidR="001B229B" w:rsidRDefault="006D3938">
            <w:pPr>
              <w:spacing w:before="20" w:after="20"/>
            </w:pPr>
            <w:r>
              <w:rPr>
                <w:color w:val="1A1A1A"/>
                <w:sz w:val="18"/>
                <w:szCs w:val="18"/>
              </w:rPr>
              <w:t>Both Action sources are empty: Q4.16 incident count fields are blank (both ‘reported’ and ‘resolved’ are blank) AND, if Q4.15 = Yes, Q4.15a provides no link or attachment. The company has provided no documentary evidence and no incident data. Note: disclosing zero incidents in Q4.16 is NOT a zero score — entering ‘0’ in both fields is Action evidence (it shows the company has tracked incidents and found none, or that the system operated without incidents in this period). Leaving Q4.16 blank is the gap.</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BE7" w14:textId="77777777" w:rsidR="001B229B" w:rsidRDefault="006D3938">
            <w:pPr>
              <w:spacing w:before="20" w:after="20"/>
            </w:pPr>
            <w:r>
              <w:rPr>
                <w:i/>
                <w:iCs/>
                <w:color w:val="1A1A1A"/>
                <w:sz w:val="17"/>
                <w:szCs w:val="17"/>
              </w:rPr>
              <w:t>Complete Q4.16 with the number of D&amp;H incidents reported and the number resolved in the reporting period, even if the figure is zero. Zero with context is transparent disclosure; blank is not.</w:t>
            </w:r>
          </w:p>
        </w:tc>
      </w:tr>
      <w:tr w:rsidR="001B229B" w14:paraId="739BFBE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E9"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EA" w14:textId="77777777" w:rsidR="001B229B" w:rsidRDefault="006D39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EB" w14:textId="77777777" w:rsidR="001B229B" w:rsidRDefault="006D393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EC" w14:textId="77777777" w:rsidR="001B229B" w:rsidRDefault="006D3938">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ED" w14:textId="77777777" w:rsidR="001B229B" w:rsidRDefault="006D3938">
            <w:pPr>
              <w:spacing w:before="20" w:after="20"/>
            </w:pPr>
            <w:r>
              <w:rPr>
                <w:color w:val="1A1A1A"/>
                <w:sz w:val="18"/>
                <w:szCs w:val="18"/>
              </w:rPr>
              <w:t>OR logic: at least one Action source has partial evidence. Q4.16 has one field completed (either reported OR resolved, but not both) — partial incident data is better than none but incomplete. OR: Q4.15 = Yes and Q4.15a provides a link, but Q4.16 remains blank. Either source provides some evidence, but neither is fully 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EE" w14:textId="77777777" w:rsidR="001B229B" w:rsidRDefault="006D3938">
            <w:pPr>
              <w:spacing w:before="20" w:after="20"/>
            </w:pPr>
            <w:r>
              <w:rPr>
                <w:i/>
                <w:iCs/>
                <w:color w:val="1A1A1A"/>
                <w:sz w:val="17"/>
                <w:szCs w:val="17"/>
              </w:rPr>
              <w:t>Complete Q4.16 with BOTH the number of incidents reported AND the number resolved. If Q4.15 = Yes and Q4.15a already has a link, ensure Q4.16 is also completed — the link alone is not sufficient for a higher Action score.</w:t>
            </w:r>
          </w:p>
        </w:tc>
      </w:tr>
      <w:tr w:rsidR="001B229B" w14:paraId="739BFBF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F0" w14:textId="77777777" w:rsidR="001B229B" w:rsidRDefault="006D3938">
            <w:pPr>
              <w:spacing w:before="20" w:after="20"/>
              <w:jc w:val="center"/>
            </w:pPr>
            <w:r>
              <w:rPr>
                <w:b/>
                <w:bCs/>
                <w:color w:val="1A1A1A"/>
                <w:sz w:val="17"/>
                <w:szCs w:val="17"/>
              </w:rPr>
              <w:t>12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F1" w14:textId="77777777" w:rsidR="001B229B" w:rsidRDefault="006D39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F2" w14:textId="77777777" w:rsidR="001B229B" w:rsidRDefault="006D393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9BFBF3" w14:textId="77777777" w:rsidR="001B229B" w:rsidRDefault="006D3938">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BF4" w14:textId="77777777" w:rsidR="001B229B" w:rsidRDefault="006D3938">
            <w:pPr>
              <w:spacing w:before="20" w:after="20"/>
            </w:pPr>
            <w:r>
              <w:rPr>
                <w:color w:val="1A1A1A"/>
                <w:sz w:val="18"/>
                <w:szCs w:val="18"/>
              </w:rPr>
              <w:t xml:space="preserve">OR logic for sources, AND within Q4.16: Q4.16 has BOTH ‘reported’ AND ‘resolved’ figures provided (including zero where applicable). This is the primary Action threshold — a complete Q4.16 response reaches score 3 regardless of whether Q4.15 = Yes or Not Yet. Additionally, where the guidance notes it, the company may include the basis for determining when an incident is considered resolved, which strengthens transparency. Q4.15a link (if </w:t>
            </w:r>
            <w:proofErr w:type="gramStart"/>
            <w:r>
              <w:rPr>
                <w:color w:val="1A1A1A"/>
                <w:sz w:val="18"/>
                <w:szCs w:val="18"/>
              </w:rPr>
              <w:t>Yes</w:t>
            </w:r>
            <w:proofErr w:type="gramEnd"/>
            <w:r>
              <w:rPr>
                <w:color w:val="1A1A1A"/>
                <w:sz w:val="18"/>
                <w:szCs w:val="18"/>
              </w:rPr>
              <w:t>) may or may not be present at this level — it is required for score 5 but not for score 3.</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BF5" w14:textId="77777777" w:rsidR="001B229B" w:rsidRDefault="006D3938">
            <w:pPr>
              <w:spacing w:before="20" w:after="20"/>
            </w:pPr>
            <w:r>
              <w:rPr>
                <w:i/>
                <w:iCs/>
                <w:color w:val="1A1A1A"/>
                <w:sz w:val="17"/>
                <w:szCs w:val="17"/>
              </w:rPr>
              <w:t>If Q4.15 = Yes: provide the public link or attachment in Q4.15a — this is required alongside Q4.16 for score 5. Where available, also add context on the basis used to determine resolution (e.g., case management procedures).</w:t>
            </w:r>
          </w:p>
        </w:tc>
      </w:tr>
      <w:tr w:rsidR="001B229B" w14:paraId="739BFBF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F7" w14:textId="77777777" w:rsidR="001B229B" w:rsidRDefault="006D3938">
            <w:pPr>
              <w:spacing w:before="20" w:after="20"/>
              <w:jc w:val="center"/>
            </w:pPr>
            <w:r>
              <w:rPr>
                <w:b/>
                <w:bCs/>
                <w:color w:val="1A1A1A"/>
                <w:sz w:val="17"/>
                <w:szCs w:val="17"/>
              </w:rPr>
              <w:lastRenderedPageBreak/>
              <w:t>12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F8" w14:textId="77777777" w:rsidR="001B229B" w:rsidRDefault="006D39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F9" w14:textId="77777777" w:rsidR="001B229B" w:rsidRDefault="006D393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39BFBFA" w14:textId="77777777" w:rsidR="001B229B" w:rsidRDefault="006D3938">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FB" w14:textId="77777777" w:rsidR="001B229B" w:rsidRDefault="006D3938">
            <w:pPr>
              <w:spacing w:before="20" w:after="20"/>
            </w:pPr>
            <w:r>
              <w:rPr>
                <w:color w:val="1A1A1A"/>
                <w:sz w:val="18"/>
                <w:szCs w:val="18"/>
              </w:rPr>
              <w:t>AND logic across sources. Q4.16 must have BOTH reported AND resolved figures provided (AND within Q4.16). AND: if Q4.15 = Yes, Q4.15a must also provide a public link to or attachment of the D&amp;H policy (AND across sources). A Not Yet company (Q4.15 = Not Yet) cannot reach score 5 because there is no Q4.15a link available to satisfy the AND, even with complete Q4.16 data. Where available, the company includes the basis used to determine when an incident is considered resolved.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9BFBFC" w14:textId="77777777" w:rsidR="001B229B" w:rsidRDefault="006D3938">
            <w:pPr>
              <w:spacing w:before="20" w:after="20"/>
            </w:pPr>
            <w:r>
              <w:rPr>
                <w:i/>
                <w:iCs/>
                <w:color w:val="1A1A1A"/>
                <w:sz w:val="17"/>
                <w:szCs w:val="17"/>
              </w:rPr>
              <w:t>Highest level achieved. Maintain both the public policy link and complete incident disclosure. Update Q4.16 annually with current reporting period figures.</w:t>
            </w:r>
          </w:p>
        </w:tc>
      </w:tr>
    </w:tbl>
    <w:p w14:paraId="739BFBFE" w14:textId="77777777" w:rsidR="001B229B" w:rsidRDefault="001B229B">
      <w:pPr>
        <w:pBdr>
          <w:bottom w:val="single" w:sz="4" w:space="1" w:color="D9D9D9"/>
        </w:pBdr>
        <w:spacing w:before="240" w:after="240"/>
      </w:pPr>
    </w:p>
    <w:p w14:paraId="739BFBFF" w14:textId="77777777" w:rsidR="001B229B" w:rsidRDefault="006D3938">
      <w:pPr>
        <w:pStyle w:val="Heading1"/>
        <w:spacing w:before="360" w:after="160"/>
      </w:pPr>
      <w:r>
        <w:rPr>
          <w:b/>
          <w:bCs/>
          <w:color w:val="1F3864"/>
          <w:sz w:val="34"/>
          <w:szCs w:val="34"/>
        </w:rPr>
        <w:t>4. Score Calculation</w:t>
      </w:r>
    </w:p>
    <w:p w14:paraId="739BFC00" w14:textId="77777777" w:rsidR="001B229B" w:rsidRDefault="006D3938">
      <w:pPr>
        <w:spacing w:before="80" w:after="80"/>
      </w:pPr>
      <w:r>
        <w:rPr>
          <w:color w:val="1A1A1A"/>
        </w:rPr>
        <w:t>Once Awareness, Approach, and Action sub-scores are assigned, the composite topic score is calculated using equal weighting across the three dimensions.</w:t>
      </w:r>
    </w:p>
    <w:p w14:paraId="739BFC01" w14:textId="77777777" w:rsidR="001B229B" w:rsidRDefault="006D3938">
      <w:pPr>
        <w:pStyle w:val="Heading2"/>
        <w:spacing w:before="280" w:after="120"/>
      </w:pPr>
      <w:proofErr w:type="gramStart"/>
      <w:r>
        <w:rPr>
          <w:b/>
          <w:bCs/>
          <w:color w:val="2E75B6"/>
        </w:rPr>
        <w:t>4.1  Formulas</w:t>
      </w:r>
      <w:proofErr w:type="gramEnd"/>
    </w:p>
    <w:p w14:paraId="739BFC02" w14:textId="77777777" w:rsidR="001B229B" w:rsidRDefault="006D3938">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739BFC03" w14:textId="77777777" w:rsidR="001B229B" w:rsidRDefault="006D3938">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739BFC04" w14:textId="77777777" w:rsidR="001B229B" w:rsidRDefault="006D3938">
      <w:pPr>
        <w:spacing w:before="80" w:after="60"/>
      </w:pPr>
      <w:r>
        <w:rPr>
          <w:i/>
          <w:iCs/>
          <w:color w:val="666666"/>
          <w:sz w:val="17"/>
          <w:szCs w:val="17"/>
        </w:rPr>
        <w:t>All reported topic scores are on the 0–100 scale. Each dimension carries equal weight (33.3%). Not Yet path: Awareness ≤ 3 (1 if vague/no plans, 3 if specific plans with date), Approach ≤ 3, Action ≤ 3 (from Q4.16 only). Maximum composite on Not Yet path = (3 + 3 + 3) ÷ 3 = 3.00, equivalent to a maximum topic score of 60/100.</w:t>
      </w:r>
    </w:p>
    <w:p w14:paraId="739BFC05" w14:textId="77777777" w:rsidR="001B229B" w:rsidRDefault="006D3938">
      <w:pPr>
        <w:pStyle w:val="Heading2"/>
        <w:spacing w:before="280" w:after="120"/>
      </w:pPr>
      <w:proofErr w:type="gramStart"/>
      <w:r>
        <w:rPr>
          <w:b/>
          <w:bCs/>
          <w:color w:val="2E75B6"/>
        </w:rPr>
        <w:t>4.2  Worked</w:t>
      </w:r>
      <w:proofErr w:type="gramEnd"/>
      <w:r>
        <w:rPr>
          <w:b/>
          <w:bCs/>
          <w:color w:val="2E75B6"/>
        </w:rPr>
        <w:t xml:space="preserve"> Examples</w:t>
      </w:r>
    </w:p>
    <w:p w14:paraId="739BFC06" w14:textId="77777777" w:rsidR="001B229B" w:rsidRDefault="006D3938">
      <w:pPr>
        <w:spacing w:before="80" w:after="80"/>
      </w:pPr>
      <w:r>
        <w:rPr>
          <w:b/>
          <w:bCs/>
          <w:color w:val="2E75B6"/>
        </w:rPr>
        <w:t>Example A: Public policy in place with full incident disclosure</w:t>
      </w:r>
    </w:p>
    <w:p w14:paraId="739BFC07" w14:textId="77777777" w:rsidR="001B229B" w:rsidRDefault="006D3938">
      <w:pPr>
        <w:spacing w:before="80" w:after="80"/>
      </w:pPr>
      <w:r>
        <w:rPr>
          <w:color w:val="1A1A1A"/>
          <w:sz w:val="19"/>
          <w:szCs w:val="19"/>
        </w:rPr>
        <w:t>Q4.15: Yes.</w:t>
      </w:r>
    </w:p>
    <w:p w14:paraId="739BFC08" w14:textId="77777777" w:rsidR="001B229B" w:rsidRDefault="006D3938">
      <w:pPr>
        <w:spacing w:before="80" w:after="80"/>
      </w:pPr>
      <w:r>
        <w:rPr>
          <w:color w:val="1A1A1A"/>
          <w:sz w:val="19"/>
          <w:szCs w:val="19"/>
        </w:rPr>
        <w:t xml:space="preserve">Q4.15a: Document types selected: Standalone non-discrimination policy AND Sustainability/ESG/CSR report (human rights section). Link: https://www.company.com/non-discrimination-policy. Text box: “Our standalone Non-Discrimination and Anti-Harassment Policy (linked) </w:t>
      </w:r>
      <w:proofErr w:type="gramStart"/>
      <w:r>
        <w:rPr>
          <w:color w:val="1A1A1A"/>
          <w:sz w:val="19"/>
          <w:szCs w:val="19"/>
        </w:rPr>
        <w:t>covers</w:t>
      </w:r>
      <w:proofErr w:type="gramEnd"/>
      <w:r>
        <w:rPr>
          <w:color w:val="1A1A1A"/>
          <w:sz w:val="19"/>
          <w:szCs w:val="19"/>
        </w:rPr>
        <w:t xml:space="preserve"> all employees globally. It is also summarised in Section 4.2 of our 2024 Sustainability Report (also linked). The standalone policy is the primary document.”</w:t>
      </w:r>
    </w:p>
    <w:p w14:paraId="739BFC09" w14:textId="77777777" w:rsidR="001B229B" w:rsidRDefault="006D3938">
      <w:pPr>
        <w:spacing w:before="80" w:after="80"/>
      </w:pPr>
      <w:r>
        <w:rPr>
          <w:color w:val="1A1A1A"/>
          <w:sz w:val="19"/>
          <w:szCs w:val="19"/>
        </w:rPr>
        <w:t>Q4.16: Reported: 47. Resolved: 44. (Note: “Resolution is defined as cases for which our formal investigation and remediation process has been closed in line with our Employee Relations Procedures. Three cases reported in Q4 2024 remain under investigation at period-end and are counted as reported but not resolved.”)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B229B" w14:paraId="739BFC0D"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C0A" w14:textId="77777777" w:rsidR="001B229B" w:rsidRDefault="006D3938">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C0B" w14:textId="77777777" w:rsidR="001B229B" w:rsidRDefault="006D3938">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C0C" w14:textId="77777777" w:rsidR="001B229B" w:rsidRDefault="006D3938">
            <w:pPr>
              <w:jc w:val="center"/>
            </w:pPr>
            <w:r>
              <w:rPr>
                <w:b/>
                <w:bCs/>
                <w:color w:val="FFFFFF"/>
                <w:sz w:val="16"/>
                <w:szCs w:val="16"/>
              </w:rPr>
              <w:t>Calculation</w:t>
            </w:r>
          </w:p>
        </w:tc>
      </w:tr>
      <w:tr w:rsidR="001B229B" w14:paraId="739BFC11"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C0E" w14:textId="77777777" w:rsidR="001B229B" w:rsidRDefault="006D3938">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C0F" w14:textId="77777777" w:rsidR="001B229B" w:rsidRDefault="006D3938">
            <w:pPr>
              <w:spacing w:before="20" w:after="20"/>
            </w:pPr>
            <w:r>
              <w:rPr>
                <w:color w:val="1A1A1A"/>
                <w:sz w:val="18"/>
                <w:szCs w:val="18"/>
              </w:rPr>
              <w:t>5 (Leading) — Q4.15 = Yes. Full recognition that a public D&amp;H policy exists.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C10" w14:textId="77777777" w:rsidR="001B229B" w:rsidRDefault="001B229B">
            <w:pPr>
              <w:spacing w:before="20" w:after="20"/>
            </w:pPr>
          </w:p>
        </w:tc>
      </w:tr>
      <w:tr w:rsidR="001B229B" w14:paraId="739BFC15"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C12" w14:textId="77777777" w:rsidR="001B229B" w:rsidRDefault="006D3938">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C13" w14:textId="77777777" w:rsidR="001B229B" w:rsidRDefault="006D3938">
            <w:pPr>
              <w:spacing w:before="20" w:after="20"/>
            </w:pPr>
            <w:r>
              <w:rPr>
                <w:color w:val="1A1A1A"/>
                <w:sz w:val="18"/>
                <w:szCs w:val="18"/>
              </w:rPr>
              <w:t>5 (Leading) — Q4.15a selects two applicable document types (standalone policy AND ESG report). Text box clearly identifies both documents and states which is primary. A standalone non-discrimination policy is the strongest governance signal. Full governance structure disclosed.</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C14" w14:textId="77777777" w:rsidR="001B229B" w:rsidRDefault="001B229B">
            <w:pPr>
              <w:spacing w:before="20" w:after="20"/>
            </w:pPr>
          </w:p>
        </w:tc>
      </w:tr>
      <w:tr w:rsidR="001B229B" w14:paraId="739BFC1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C16" w14:textId="77777777" w:rsidR="001B229B" w:rsidRDefault="006D3938">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C17" w14:textId="77777777" w:rsidR="001B229B" w:rsidRDefault="006D3938">
            <w:pPr>
              <w:spacing w:before="20" w:after="20"/>
            </w:pPr>
            <w:r>
              <w:rPr>
                <w:color w:val="1A1A1A"/>
                <w:sz w:val="18"/>
                <w:szCs w:val="18"/>
              </w:rPr>
              <w:t xml:space="preserve">5 (Leading) — AND satisfied across sources: Q4.16 has both reported (47) AND resolved (44) figures with resolution basis explained (3 cases open at period-end identified and </w:t>
            </w:r>
            <w:r>
              <w:rPr>
                <w:color w:val="1A1A1A"/>
                <w:sz w:val="18"/>
                <w:szCs w:val="18"/>
              </w:rPr>
              <w:lastRenderedPageBreak/>
              <w:t>contextualised). Q4.15a provides a public link. Both required Action elements are present.</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C18" w14:textId="77777777" w:rsidR="001B229B" w:rsidRDefault="001B229B">
            <w:pPr>
              <w:spacing w:before="20" w:after="20"/>
            </w:pPr>
          </w:p>
        </w:tc>
      </w:tr>
      <w:tr w:rsidR="001B229B" w14:paraId="739BFC1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39BFC1A" w14:textId="77777777" w:rsidR="001B229B" w:rsidRDefault="006D3938">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39BFC1B" w14:textId="77777777" w:rsidR="001B229B" w:rsidRDefault="006D3938">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39BFC1C" w14:textId="77777777" w:rsidR="001B229B" w:rsidRDefault="006D3938">
            <w:pPr>
              <w:spacing w:before="20" w:after="20"/>
            </w:pPr>
            <w:r>
              <w:rPr>
                <w:b/>
                <w:bCs/>
                <w:color w:val="1A1A1A"/>
                <w:sz w:val="19"/>
                <w:szCs w:val="19"/>
              </w:rPr>
              <w:t>Topic Score = 5.00 × 20 = 100 / 100</w:t>
            </w:r>
          </w:p>
        </w:tc>
      </w:tr>
    </w:tbl>
    <w:p w14:paraId="739BFC1E" w14:textId="77777777" w:rsidR="001B229B" w:rsidRDefault="006D3938">
      <w:pPr>
        <w:spacing w:before="80" w:after="60"/>
      </w:pPr>
      <w:r>
        <w:rPr>
          <w:i/>
          <w:iCs/>
          <w:color w:val="666666"/>
          <w:sz w:val="17"/>
          <w:szCs w:val="17"/>
        </w:rPr>
        <w:t>Full marks. The response includes a standalone policy (strongest governance signal), two document types selected, a public link, and complete incident data with resolution basis explained.</w:t>
      </w:r>
    </w:p>
    <w:p w14:paraId="739BFC1F" w14:textId="77777777" w:rsidR="001B229B" w:rsidRDefault="006D3938">
      <w:pPr>
        <w:spacing w:before="240" w:after="80"/>
      </w:pPr>
      <w:r>
        <w:rPr>
          <w:b/>
          <w:bCs/>
          <w:color w:val="2E75B6"/>
        </w:rPr>
        <w:t>Example B: Not Yet — with Q4.16 data provided</w:t>
      </w:r>
    </w:p>
    <w:p w14:paraId="739BFC20" w14:textId="77777777" w:rsidR="001B229B" w:rsidRDefault="006D3938">
      <w:pPr>
        <w:spacing w:before="80" w:after="80"/>
      </w:pPr>
      <w:r>
        <w:rPr>
          <w:color w:val="1A1A1A"/>
          <w:sz w:val="19"/>
          <w:szCs w:val="19"/>
        </w:rPr>
        <w:t>Q4.15: Not Yet.</w:t>
      </w:r>
    </w:p>
    <w:p w14:paraId="739BFC21" w14:textId="77777777" w:rsidR="001B229B" w:rsidRDefault="006D3938">
      <w:pPr>
        <w:spacing w:before="80" w:after="80"/>
      </w:pPr>
      <w:r>
        <w:rPr>
          <w:color w:val="1A1A1A"/>
          <w:sz w:val="19"/>
          <w:szCs w:val="19"/>
        </w:rPr>
        <w:t xml:space="preserve">Q4.15b: “We do not yet have a public standalone discrimination and harassment policy. We plan to publish one by Q3 2026. In the interim, discrimination and harassment is addressed </w:t>
      </w:r>
      <w:proofErr w:type="gramStart"/>
      <w:r>
        <w:rPr>
          <w:color w:val="1A1A1A"/>
          <w:sz w:val="19"/>
          <w:szCs w:val="19"/>
        </w:rPr>
        <w:t>through:</w:t>
      </w:r>
      <w:proofErr w:type="gramEnd"/>
      <w:r>
        <w:rPr>
          <w:color w:val="1A1A1A"/>
          <w:sz w:val="19"/>
          <w:szCs w:val="19"/>
        </w:rPr>
        <w:t xml:space="preserve"> our internal employee code of conduct (covering prohibited behaviours), mandatory annual anti-harassment training for all staff, a confidential HR reporting hotline, and disciplinary procedures managed by our People &amp; Culture team. Our HR Director has overall responsibility for D&amp;H prevention.”</w:t>
      </w:r>
    </w:p>
    <w:p w14:paraId="739BFC22" w14:textId="77777777" w:rsidR="001B229B" w:rsidRDefault="006D3938">
      <w:pPr>
        <w:spacing w:before="80" w:after="80"/>
      </w:pPr>
      <w:r>
        <w:rPr>
          <w:color w:val="1A1A1A"/>
          <w:sz w:val="19"/>
          <w:szCs w:val="19"/>
        </w:rPr>
        <w:t>Q4.16: Reported: 12. Resolved: 12.</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B229B" w14:paraId="739BFC26"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C23" w14:textId="77777777" w:rsidR="001B229B" w:rsidRDefault="006D3938">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C24" w14:textId="77777777" w:rsidR="001B229B" w:rsidRDefault="006D3938">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39BFC25" w14:textId="77777777" w:rsidR="001B229B" w:rsidRDefault="006D3938">
            <w:pPr>
              <w:jc w:val="center"/>
            </w:pPr>
            <w:r>
              <w:rPr>
                <w:b/>
                <w:bCs/>
                <w:color w:val="FFFFFF"/>
                <w:sz w:val="16"/>
                <w:szCs w:val="16"/>
              </w:rPr>
              <w:t>Calculation</w:t>
            </w:r>
          </w:p>
        </w:tc>
      </w:tr>
      <w:tr w:rsidR="001B229B" w14:paraId="739BFC2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C27" w14:textId="77777777" w:rsidR="001B229B" w:rsidRDefault="006D3938">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C28" w14:textId="77777777" w:rsidR="001B229B" w:rsidRDefault="006D3938">
            <w:pPr>
              <w:spacing w:before="20" w:after="20"/>
            </w:pPr>
            <w:r>
              <w:rPr>
                <w:color w:val="1A1A1A"/>
                <w:sz w:val="18"/>
                <w:szCs w:val="18"/>
              </w:rPr>
              <w:t>1 (Minimal) — Q4.15 = Not Yet. Structural Awareness score for this path.</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9BFC29" w14:textId="77777777" w:rsidR="001B229B" w:rsidRDefault="001B229B">
            <w:pPr>
              <w:spacing w:before="20" w:after="20"/>
            </w:pPr>
          </w:p>
        </w:tc>
      </w:tr>
      <w:tr w:rsidR="001B229B" w14:paraId="739BFC2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C2B" w14:textId="77777777" w:rsidR="001B229B" w:rsidRDefault="006D3938">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C2C" w14:textId="77777777" w:rsidR="001B229B" w:rsidRDefault="006D3938">
            <w:pPr>
              <w:spacing w:before="20" w:after="20"/>
            </w:pPr>
            <w:r>
              <w:rPr>
                <w:color w:val="1A1A1A"/>
                <w:sz w:val="18"/>
                <w:szCs w:val="18"/>
              </w:rPr>
              <w:t>3 (Adequate, CAPPED) — Q4.15b describes 4 alternative processes (code of conduct, training, reporting hotline, disciplinary procedures), describes implementation in practice (mandatory annual, confidential hotline, managed by People &amp; Culture), and names the responsible function (HR Director). This is a strong Not Yet response, but the dimension is capped at 3.</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39BFC2D" w14:textId="77777777" w:rsidR="001B229B" w:rsidRDefault="001B229B">
            <w:pPr>
              <w:spacing w:before="20" w:after="20"/>
            </w:pPr>
          </w:p>
        </w:tc>
      </w:tr>
      <w:tr w:rsidR="001B229B" w14:paraId="739BFC3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C2F" w14:textId="77777777" w:rsidR="001B229B" w:rsidRDefault="006D3938">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C30" w14:textId="77777777" w:rsidR="001B229B" w:rsidRDefault="006D3938">
            <w:pPr>
              <w:spacing w:before="20" w:after="20"/>
            </w:pPr>
            <w:r>
              <w:rPr>
                <w:color w:val="1A1A1A"/>
                <w:sz w:val="18"/>
                <w:szCs w:val="18"/>
              </w:rPr>
              <w:t>3 (Adequate) — Q4.16 has both reported (12) AND resolved (12) figures — the primary threshold for score 3. The company cannot reach score 5 because it is on the Not Yet path (no Q4.15a link available to satisfy the AND at score 5).</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9BFC31" w14:textId="77777777" w:rsidR="001B229B" w:rsidRDefault="001B229B">
            <w:pPr>
              <w:spacing w:before="20" w:after="20"/>
            </w:pPr>
          </w:p>
        </w:tc>
      </w:tr>
      <w:tr w:rsidR="001B229B" w14:paraId="739BFC3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39BFC33" w14:textId="77777777" w:rsidR="001B229B" w:rsidRDefault="006D3938">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39BFC34" w14:textId="77777777" w:rsidR="001B229B" w:rsidRDefault="006D3938">
            <w:pPr>
              <w:spacing w:before="20" w:after="20"/>
            </w:pPr>
            <w:r>
              <w:rPr>
                <w:b/>
                <w:bCs/>
                <w:color w:val="1A1A1A"/>
                <w:sz w:val="19"/>
                <w:szCs w:val="19"/>
              </w:rPr>
              <w:t>(3 + 3 + 3) ÷ 3 = 3.00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39BFC35" w14:textId="77777777" w:rsidR="001B229B" w:rsidRDefault="006D3938">
            <w:pPr>
              <w:spacing w:before="20" w:after="20"/>
            </w:pPr>
            <w:r>
              <w:rPr>
                <w:b/>
                <w:bCs/>
                <w:color w:val="1A1A1A"/>
                <w:sz w:val="19"/>
                <w:szCs w:val="19"/>
              </w:rPr>
              <w:t>Topic Score = 3.00 × 20 = 60 / 100</w:t>
            </w:r>
          </w:p>
        </w:tc>
      </w:tr>
    </w:tbl>
    <w:p w14:paraId="739BFC37" w14:textId="77777777" w:rsidR="001B229B" w:rsidRDefault="006D3938">
      <w:pPr>
        <w:spacing w:before="80" w:after="60"/>
      </w:pPr>
      <w:r>
        <w:rPr>
          <w:i/>
          <w:iCs/>
          <w:color w:val="666666"/>
          <w:sz w:val="17"/>
          <w:szCs w:val="17"/>
        </w:rPr>
        <w:t>60/100 — the maximum for the Not Yet path (Awareness = 3 due to specific Q3 2026 date, Approach = 3 capped, Action = 3 from Q4.16 alone). Publishing a public D&amp;H policy (moving to Yes) is the single action that would unlock score 5 across all three dimensions.</w:t>
      </w:r>
    </w:p>
    <w:sectPr w:rsidR="001B229B">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24217" w14:textId="77777777" w:rsidR="006D3938" w:rsidRDefault="006D3938" w:rsidP="00797F49">
      <w:r>
        <w:separator/>
      </w:r>
    </w:p>
  </w:endnote>
  <w:endnote w:type="continuationSeparator" w:id="0">
    <w:p w14:paraId="00734DE0" w14:textId="77777777" w:rsidR="006D3938" w:rsidRDefault="006D3938" w:rsidP="0079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9C9B" w14:textId="77777777" w:rsidR="00797F49" w:rsidRDefault="00797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DF14" w14:textId="77777777" w:rsidR="00797F49" w:rsidRDefault="00797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4B2B" w14:textId="77777777" w:rsidR="00797F49" w:rsidRDefault="00797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91F50" w14:textId="77777777" w:rsidR="006D3938" w:rsidRDefault="006D3938" w:rsidP="00797F49">
      <w:r>
        <w:separator/>
      </w:r>
    </w:p>
  </w:footnote>
  <w:footnote w:type="continuationSeparator" w:id="0">
    <w:p w14:paraId="3E5D7C50" w14:textId="77777777" w:rsidR="006D3938" w:rsidRDefault="006D3938" w:rsidP="0079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D7F7" w14:textId="77777777" w:rsidR="00797F49" w:rsidRDefault="00797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293201"/>
      <w:docPartObj>
        <w:docPartGallery w:val="Watermarks"/>
        <w:docPartUnique/>
      </w:docPartObj>
    </w:sdtPr>
    <w:sdtContent>
      <w:p w14:paraId="54934E38" w14:textId="698000DA" w:rsidR="00797F49" w:rsidRDefault="00797F49">
        <w:pPr>
          <w:pStyle w:val="Header"/>
        </w:pPr>
        <w:r>
          <w:rPr>
            <w:noProof/>
          </w:rPr>
          <w:pict w14:anchorId="791B9B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6F6A" w14:textId="77777777" w:rsidR="00797F49" w:rsidRDefault="00797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D219E"/>
    <w:multiLevelType w:val="hybridMultilevel"/>
    <w:tmpl w:val="C9ECE650"/>
    <w:lvl w:ilvl="0" w:tplc="523636BE">
      <w:start w:val="1"/>
      <w:numFmt w:val="bullet"/>
      <w:lvlText w:val="●"/>
      <w:lvlJc w:val="left"/>
      <w:pPr>
        <w:ind w:left="720" w:hanging="360"/>
      </w:pPr>
    </w:lvl>
    <w:lvl w:ilvl="1" w:tplc="707A9910">
      <w:start w:val="1"/>
      <w:numFmt w:val="bullet"/>
      <w:lvlText w:val="○"/>
      <w:lvlJc w:val="left"/>
      <w:pPr>
        <w:ind w:left="1440" w:hanging="360"/>
      </w:pPr>
    </w:lvl>
    <w:lvl w:ilvl="2" w:tplc="8DBE3020">
      <w:start w:val="1"/>
      <w:numFmt w:val="bullet"/>
      <w:lvlText w:val="■"/>
      <w:lvlJc w:val="left"/>
      <w:pPr>
        <w:ind w:left="2160" w:hanging="360"/>
      </w:pPr>
    </w:lvl>
    <w:lvl w:ilvl="3" w:tplc="9F20038A">
      <w:start w:val="1"/>
      <w:numFmt w:val="bullet"/>
      <w:lvlText w:val="●"/>
      <w:lvlJc w:val="left"/>
      <w:pPr>
        <w:ind w:left="2880" w:hanging="360"/>
      </w:pPr>
    </w:lvl>
    <w:lvl w:ilvl="4" w:tplc="004EF956">
      <w:start w:val="1"/>
      <w:numFmt w:val="bullet"/>
      <w:lvlText w:val="○"/>
      <w:lvlJc w:val="left"/>
      <w:pPr>
        <w:ind w:left="3600" w:hanging="360"/>
      </w:pPr>
    </w:lvl>
    <w:lvl w:ilvl="5" w:tplc="F91A0CB4">
      <w:start w:val="1"/>
      <w:numFmt w:val="bullet"/>
      <w:lvlText w:val="■"/>
      <w:lvlJc w:val="left"/>
      <w:pPr>
        <w:ind w:left="4320" w:hanging="360"/>
      </w:pPr>
    </w:lvl>
    <w:lvl w:ilvl="6" w:tplc="BBE6FD0C">
      <w:start w:val="1"/>
      <w:numFmt w:val="bullet"/>
      <w:lvlText w:val="●"/>
      <w:lvlJc w:val="left"/>
      <w:pPr>
        <w:ind w:left="5040" w:hanging="360"/>
      </w:pPr>
    </w:lvl>
    <w:lvl w:ilvl="7" w:tplc="7F520908">
      <w:start w:val="1"/>
      <w:numFmt w:val="bullet"/>
      <w:lvlText w:val="●"/>
      <w:lvlJc w:val="left"/>
      <w:pPr>
        <w:ind w:left="5760" w:hanging="360"/>
      </w:pPr>
    </w:lvl>
    <w:lvl w:ilvl="8" w:tplc="DE2E4FFE">
      <w:start w:val="1"/>
      <w:numFmt w:val="bullet"/>
      <w:lvlText w:val="●"/>
      <w:lvlJc w:val="left"/>
      <w:pPr>
        <w:ind w:left="6480" w:hanging="360"/>
      </w:pPr>
    </w:lvl>
  </w:abstractNum>
  <w:num w:numId="1" w16cid:durableId="3837971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29B"/>
    <w:rsid w:val="001B229B"/>
    <w:rsid w:val="006D3938"/>
    <w:rsid w:val="00797F49"/>
    <w:rsid w:val="00B17A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BFB89"/>
  <w15:docId w15:val="{947EB548-7661-4A26-9DD8-1CE51543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797F49"/>
    <w:pPr>
      <w:tabs>
        <w:tab w:val="center" w:pos="4513"/>
        <w:tab w:val="right" w:pos="9026"/>
      </w:tabs>
    </w:pPr>
  </w:style>
  <w:style w:type="character" w:customStyle="1" w:styleId="HeaderChar">
    <w:name w:val="Header Char"/>
    <w:basedOn w:val="DefaultParagraphFont"/>
    <w:link w:val="Header"/>
    <w:uiPriority w:val="99"/>
    <w:rsid w:val="00797F49"/>
  </w:style>
  <w:style w:type="paragraph" w:styleId="Footer">
    <w:name w:val="footer"/>
    <w:basedOn w:val="Normal"/>
    <w:link w:val="FooterChar"/>
    <w:uiPriority w:val="99"/>
    <w:unhideWhenUsed/>
    <w:rsid w:val="00797F49"/>
    <w:pPr>
      <w:tabs>
        <w:tab w:val="center" w:pos="4513"/>
        <w:tab w:val="right" w:pos="9026"/>
      </w:tabs>
    </w:pPr>
  </w:style>
  <w:style w:type="character" w:customStyle="1" w:styleId="FooterChar">
    <w:name w:val="Footer Char"/>
    <w:basedOn w:val="DefaultParagraphFont"/>
    <w:link w:val="Footer"/>
    <w:uiPriority w:val="99"/>
    <w:rsid w:val="00797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30FDF-3922-4CD6-8419-DB39BD2C0D9D}">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4978215E-0F32-4F7F-BC5D-E796A012B1DC}">
  <ds:schemaRefs>
    <ds:schemaRef ds:uri="http://schemas.microsoft.com/sharepoint/v3/contenttype/forms"/>
  </ds:schemaRefs>
</ds:datastoreItem>
</file>

<file path=customXml/itemProps3.xml><?xml version="1.0" encoding="utf-8"?>
<ds:datastoreItem xmlns:ds="http://schemas.openxmlformats.org/officeDocument/2006/customXml" ds:itemID="{5F277201-BF31-41C3-9D55-C3A4862A3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2803</Words>
  <Characters>15978</Characters>
  <Application>Microsoft Office Word</Application>
  <DocSecurity>0</DocSecurity>
  <Lines>133</Lines>
  <Paragraphs>37</Paragraphs>
  <ScaleCrop>false</ScaleCrop>
  <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2</cp:revision>
  <dcterms:created xsi:type="dcterms:W3CDTF">2026-07-03T05:09:00Z</dcterms:created>
  <dcterms:modified xsi:type="dcterms:W3CDTF">2026-07-14T07:17:00Z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